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982"/>
        <w:gridCol w:w="957"/>
        <w:gridCol w:w="958"/>
        <w:gridCol w:w="1304"/>
        <w:gridCol w:w="958"/>
        <w:gridCol w:w="20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门诊慢特病病种待遇认定申请表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认定机构名称（盖章）：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□职工医保        □城乡居民医保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身份证件号码</w:t>
            </w:r>
          </w:p>
        </w:tc>
        <w:tc>
          <w:tcPr>
            <w:tcW w:w="3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选择定点医院</w:t>
            </w:r>
          </w:p>
        </w:tc>
        <w:tc>
          <w:tcPr>
            <w:tcW w:w="38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申请人签名</w:t>
            </w:r>
          </w:p>
        </w:tc>
        <w:tc>
          <w:tcPr>
            <w:tcW w:w="3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申报病种名称</w:t>
            </w:r>
          </w:p>
        </w:tc>
        <w:tc>
          <w:tcPr>
            <w:tcW w:w="82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8DB4E2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8DB4E2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(此栏请按照标准病种名称填写)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7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申报病种情况（符合诊断标准项目）</w:t>
            </w:r>
          </w:p>
        </w:tc>
        <w:tc>
          <w:tcPr>
            <w:tcW w:w="82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医师签名：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9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6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82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82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E48CB"/>
    <w:rsid w:val="3809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2024-03-20T01:42:12Z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